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0001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11-07-2024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595-25-101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36C24425R0005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** HOUR &amp; DATE for Receipt of Offers is EXTENDED to: 12-10-2024 15:00 EST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The purpose of this amendment to solicitation number 36C24425R0005 is as follows: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1) Is to clarify and extend the receipt of offerors date from 12-06-24 15:00 EST to 12-10-24 15:00 EST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2) Publish the site visit sign-in sheet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  <w:sectPr>
          <w:type w:val="continuous"/>
          <w:pgMar w:top="1080" w:right="1440" w:bottom="1080" w:left="1440" w:header="360" w:footer="360"/>
          <w:cols w:space="720"/>
        </w:sectPr>
      </w:pPr>
      <w:r>
        <w:t>See attached document: Site Visit 11-6-2024 Sign-In Sheet 11 am.</w:t>
      </w:r>
    </w:p>
    <w:p w:rsidR="00000000" w:rsidP="00A148BE">
      <w:pPr>
        <w:jc w:val="center"/>
      </w:pPr>
      <w:r>
        <w:t>End of Document</w:t>
      </w:r>
      <w:bookmarkStart w:id="0" w:name="_GoBack"/>
      <w:bookmarkEnd w:id="0"/>
    </w:p>
    <w:sectPr>
      <w:footerReference w:type="default" r:id="rId4"/>
      <w:type w:val="continuous"/>
      <w:pgSz w:w="12240" w:h="15840"/>
      <w:pgMar w:top="1080" w:right="1440" w:bottom="1080" w:left="1440" w:header="360" w:footer="3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2024-11-07T12:40:53Z</dcterms:created>
  <dcterms:modified xsi:type="dcterms:W3CDTF">2024-11-07T12:40:53Z</dcterms:modified>
</cp:coreProperties>
</file>